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15A3" w14:textId="77777777" w:rsidR="002C5A82" w:rsidRPr="002C5A82" w:rsidRDefault="002C5A82" w:rsidP="002C5A82">
      <w:pPr>
        <w:pStyle w:val="a3"/>
        <w:spacing w:before="101" w:beforeAutospacing="0" w:after="101" w:afterAutospacing="0" w:line="315" w:lineRule="atLeast"/>
        <w:rPr>
          <w:rFonts w:asciiTheme="minorHAnsi" w:eastAsiaTheme="minorHAnsi" w:hAnsiTheme="minorHAnsi"/>
          <w:color w:val="000000"/>
          <w:sz w:val="21"/>
          <w:szCs w:val="21"/>
        </w:rPr>
      </w:pPr>
      <w:r w:rsidRPr="002C5A82">
        <w:rPr>
          <w:rFonts w:asciiTheme="minorHAnsi" w:eastAsiaTheme="minorHAnsi" w:hAnsiTheme="minorHAnsi" w:hint="eastAsia"/>
          <w:color w:val="000000"/>
          <w:sz w:val="21"/>
          <w:szCs w:val="21"/>
        </w:rPr>
        <w:t>附件3</w:t>
      </w:r>
    </w:p>
    <w:p w14:paraId="0E61CC09" w14:textId="77777777" w:rsidR="002C5A82" w:rsidRPr="002C5A82" w:rsidRDefault="002C5A82" w:rsidP="002C5A82">
      <w:pPr>
        <w:pStyle w:val="a4"/>
        <w:rPr>
          <w:rFonts w:hint="eastAsia"/>
        </w:rPr>
      </w:pPr>
      <w:r w:rsidRPr="002C5A82">
        <w:rPr>
          <w:rFonts w:hint="eastAsia"/>
        </w:rPr>
        <w:t>校园网楼宇布线系统验收及使用</w:t>
      </w:r>
    </w:p>
    <w:p w14:paraId="58DD2320" w14:textId="77777777" w:rsidR="002C5A82" w:rsidRPr="002C5A82" w:rsidRDefault="002C5A82" w:rsidP="002C5A82">
      <w:pPr>
        <w:pStyle w:val="a3"/>
        <w:spacing w:before="101" w:beforeAutospacing="0" w:after="101" w:afterAutospacing="0" w:line="315" w:lineRule="atLeast"/>
        <w:jc w:val="center"/>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    </w:t>
      </w:r>
    </w:p>
    <w:p w14:paraId="369962C2" w14:textId="77777777" w:rsidR="002C5A82" w:rsidRPr="002C5A82" w:rsidRDefault="002C5A82" w:rsidP="002C5A82">
      <w:pPr>
        <w:pStyle w:val="a3"/>
        <w:spacing w:before="101" w:beforeAutospacing="0" w:after="101" w:afterAutospacing="0" w:line="315" w:lineRule="atLeast"/>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一、楼宇布线系统的验收</w:t>
      </w:r>
    </w:p>
    <w:p w14:paraId="356E880A"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cs="Times New Roman"/>
          <w:color w:val="000000"/>
          <w:sz w:val="21"/>
          <w:szCs w:val="21"/>
        </w:rPr>
        <w:t>1.</w:t>
      </w:r>
      <w:r w:rsidRPr="002C5A82">
        <w:rPr>
          <w:rFonts w:asciiTheme="minorHAnsi" w:eastAsiaTheme="minorHAnsi" w:hAnsiTheme="minorHAnsi" w:hint="eastAsia"/>
          <w:color w:val="000000"/>
          <w:sz w:val="21"/>
          <w:szCs w:val="21"/>
        </w:rPr>
        <w:t>验收工作的组织：工程主管单位会同使用单位及信息办对布线工程组织验收。参加验收的人员应包括工程主管单位的项目经理或相关人员，设计及施工单位的有关人员，楼宇使用单位信息管理员，信息办有关人员及或物业管理部门的人员。</w:t>
      </w:r>
    </w:p>
    <w:p w14:paraId="6C65C01F"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2.验收应具备的条件：</w:t>
      </w:r>
    </w:p>
    <w:p w14:paraId="168852F6"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（1）设计及施工、竣工的图纸和文档资料齐全。</w:t>
      </w:r>
    </w:p>
    <w:p w14:paraId="06E357D9"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（2）按设计要求及工程合同所规定的内容全部竣工。</w:t>
      </w:r>
    </w:p>
    <w:p w14:paraId="5AADE750"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（3）施工单位完成对工程的全部自测并提供测试报告。</w:t>
      </w:r>
    </w:p>
    <w:p w14:paraId="5C8FCCD7"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3.验收的主要内容：</w:t>
      </w:r>
    </w:p>
    <w:p w14:paraId="13B239B6"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（1）工程的设计及施工是否符合《校园网楼宇布线系统建设标准和技术要求》的规定。</w:t>
      </w:r>
    </w:p>
    <w:p w14:paraId="375CBA48"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（2）建设内容是否符合本项目建设合同的要求。</w:t>
      </w:r>
    </w:p>
    <w:p w14:paraId="7B633AB6"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（3）质量验收：按楼宇重要程度、使用性质、建筑规模及设计施工单位的等级不同，抽取15%-30%的信息点进行复测。</w:t>
      </w:r>
    </w:p>
    <w:p w14:paraId="28D0612A"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（4）对被测信息点的电气性能不合格率或被测信息点与配线架的标识不符率大于5%的工程，应被确定为不合格工程，整改复验之前不得投入使用。</w:t>
      </w:r>
    </w:p>
    <w:p w14:paraId="5D2C4446"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4.验收报告需经各方（招标、设计、施工、使用等）代表会同签字认可后，方能移交使用。如对某些方面有保留意见或需整改的，应以书面形式明确整改内容及整改期限。</w:t>
      </w:r>
    </w:p>
    <w:p w14:paraId="06441E3B" w14:textId="77777777" w:rsidR="002C5A82" w:rsidRPr="002C5A82" w:rsidRDefault="002C5A82" w:rsidP="002C5A82">
      <w:pPr>
        <w:pStyle w:val="a3"/>
        <w:spacing w:before="101" w:beforeAutospacing="0" w:after="101" w:afterAutospacing="0" w:line="315" w:lineRule="atLeast"/>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二、楼宇布线系统的使用</w:t>
      </w:r>
    </w:p>
    <w:p w14:paraId="7E486704"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1.经验收合格可以交付使用的楼宇布线系统，在投入使用前，必须向信息办完成移交。</w:t>
      </w:r>
    </w:p>
    <w:p w14:paraId="3AA4FD63"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2.楼宇布线系统移交时应提交的文档资料包括：</w:t>
      </w:r>
    </w:p>
    <w:p w14:paraId="66999F65"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（1）楼宇布线系统设计文件和信息办对该设计文件的会签意见。</w:t>
      </w:r>
    </w:p>
    <w:p w14:paraId="2E84DD21"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（2）楼宇建筑外场图：能说明相关通信管道人孔位置和光缆出入土管位置、管径、数量等情况的建筑外场相关工程图。</w:t>
      </w:r>
    </w:p>
    <w:p w14:paraId="3A2402FF"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（3）楼宇内部布线图，含总图、水平及垂直分系统工程图。</w:t>
      </w:r>
    </w:p>
    <w:p w14:paraId="1293B978"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（4）楼宇内部信息点分布表。要求对所有信息点进行正确合理编号、提供配线架及房间号相对应的数据。</w:t>
      </w:r>
    </w:p>
    <w:p w14:paraId="483EF959"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（5）楼宇内部与布线系统相关配线间的强电配线工程图。</w:t>
      </w:r>
    </w:p>
    <w:p w14:paraId="32F0B37C"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（6）楼宇布线系统测试报告。有对所有信息点进行长度、通断及衰耗等测试的完整数据。</w:t>
      </w:r>
    </w:p>
    <w:p w14:paraId="572261F4"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（7）配线设备间机柜布局工程图。</w:t>
      </w:r>
    </w:p>
    <w:p w14:paraId="5D14B989"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（8）楼宇布线系统工程建设监理报告。</w:t>
      </w:r>
    </w:p>
    <w:p w14:paraId="7F1EAC2F"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lastRenderedPageBreak/>
        <w:t>（9）楼宇布线系统验收报告。</w:t>
      </w:r>
    </w:p>
    <w:p w14:paraId="56C08B19"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3.楼宇内校园网的开通条件：</w:t>
      </w:r>
    </w:p>
    <w:p w14:paraId="33A51A05" w14:textId="77777777" w:rsidR="002C5A82" w:rsidRPr="002C5A82" w:rsidRDefault="002C5A82" w:rsidP="002C5A82">
      <w:pPr>
        <w:pStyle w:val="a3"/>
        <w:spacing w:before="101" w:beforeAutospacing="0" w:after="101" w:afterAutospacing="0" w:line="315" w:lineRule="atLeast"/>
        <w:ind w:firstLineChars="200" w:firstLine="420"/>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（1）楼宇内的布线系统必须通过验收并完成向信息办的移交工作。</w:t>
      </w:r>
    </w:p>
    <w:p w14:paraId="5FE406C9" w14:textId="77777777" w:rsidR="002C5A82" w:rsidRPr="002C5A82" w:rsidRDefault="002C5A82" w:rsidP="002C5A82">
      <w:pPr>
        <w:pStyle w:val="a3"/>
        <w:spacing w:before="101" w:beforeAutospacing="0" w:after="101" w:afterAutospacing="0" w:line="315" w:lineRule="atLeast"/>
        <w:ind w:firstLineChars="200" w:firstLine="420"/>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（2）外部光缆接入工程完成并已通过验收可交付使用。弱电</w:t>
      </w:r>
      <w:proofErr w:type="gramStart"/>
      <w:r w:rsidRPr="002C5A82">
        <w:rPr>
          <w:rFonts w:asciiTheme="minorHAnsi" w:eastAsiaTheme="minorHAnsi" w:hAnsiTheme="minorHAnsi" w:hint="eastAsia"/>
          <w:color w:val="000000"/>
          <w:sz w:val="21"/>
          <w:szCs w:val="21"/>
        </w:rPr>
        <w:t>间符合</w:t>
      </w:r>
      <w:proofErr w:type="gramEnd"/>
      <w:r w:rsidRPr="002C5A82">
        <w:rPr>
          <w:rFonts w:asciiTheme="minorHAnsi" w:eastAsiaTheme="minorHAnsi" w:hAnsiTheme="minorHAnsi" w:hint="eastAsia"/>
          <w:color w:val="000000"/>
          <w:sz w:val="21"/>
          <w:szCs w:val="21"/>
        </w:rPr>
        <w:t>设备开通供电等环境要求。</w:t>
      </w:r>
    </w:p>
    <w:p w14:paraId="49E5261C" w14:textId="77777777"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r w:rsidRPr="002C5A82">
        <w:rPr>
          <w:rFonts w:asciiTheme="minorHAnsi" w:eastAsiaTheme="minorHAnsi" w:hAnsiTheme="minorHAnsi" w:hint="eastAsia"/>
          <w:color w:val="000000"/>
          <w:sz w:val="21"/>
          <w:szCs w:val="21"/>
        </w:rPr>
        <w:t>（3）楼宇主要使用单位已明确楼宇内布线系统协管人员，并已明确职责。</w:t>
      </w:r>
    </w:p>
    <w:p w14:paraId="38EF523D" w14:textId="77777777" w:rsid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color w:val="000000"/>
          <w:sz w:val="21"/>
          <w:szCs w:val="21"/>
        </w:rPr>
      </w:pPr>
      <w:r w:rsidRPr="002C5A82">
        <w:rPr>
          <w:rFonts w:asciiTheme="minorHAnsi" w:eastAsiaTheme="minorHAnsi" w:hAnsiTheme="minorHAnsi" w:hint="eastAsia"/>
          <w:color w:val="000000"/>
          <w:sz w:val="21"/>
          <w:szCs w:val="21"/>
        </w:rPr>
        <w:t>（4）相关网络设备安装到位并具备开通条件。</w:t>
      </w:r>
    </w:p>
    <w:p w14:paraId="03D458B5" w14:textId="0096EC2E" w:rsidR="002C5A82" w:rsidRPr="002C5A82" w:rsidRDefault="002C5A82" w:rsidP="002C5A82">
      <w:pPr>
        <w:pStyle w:val="a3"/>
        <w:spacing w:before="101" w:beforeAutospacing="0" w:after="101" w:afterAutospacing="0" w:line="315" w:lineRule="atLeast"/>
        <w:ind w:firstLineChars="200" w:firstLine="420"/>
        <w:jc w:val="both"/>
        <w:rPr>
          <w:rFonts w:asciiTheme="minorHAnsi" w:eastAsiaTheme="minorHAnsi" w:hAnsiTheme="minorHAnsi" w:hint="eastAsia"/>
          <w:color w:val="000000"/>
          <w:sz w:val="21"/>
          <w:szCs w:val="21"/>
        </w:rPr>
      </w:pPr>
      <w:bookmarkStart w:id="0" w:name="_GoBack"/>
      <w:bookmarkEnd w:id="0"/>
      <w:r w:rsidRPr="002C5A82">
        <w:rPr>
          <w:rFonts w:asciiTheme="minorHAnsi" w:eastAsiaTheme="minorHAnsi" w:hAnsiTheme="minorHAnsi" w:hint="eastAsia"/>
          <w:color w:val="000000"/>
          <w:sz w:val="21"/>
          <w:szCs w:val="21"/>
        </w:rPr>
        <w:t>（5）楼宇业主及物业等管理人员均已到位。</w:t>
      </w:r>
    </w:p>
    <w:p w14:paraId="55EF1208" w14:textId="77777777" w:rsidR="00581C2B" w:rsidRPr="002C5A82" w:rsidRDefault="002C5A82">
      <w:pPr>
        <w:rPr>
          <w:rFonts w:eastAsiaTheme="minorHAnsi"/>
        </w:rPr>
      </w:pPr>
    </w:p>
    <w:sectPr w:rsidR="00581C2B" w:rsidRPr="002C5A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5A"/>
    <w:rsid w:val="00160D05"/>
    <w:rsid w:val="002817E1"/>
    <w:rsid w:val="002C5A82"/>
    <w:rsid w:val="00643F1C"/>
    <w:rsid w:val="00926B5A"/>
    <w:rsid w:val="00BC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4FF9"/>
  <w15:chartTrackingRefBased/>
  <w15:docId w15:val="{486036F8-9D49-4498-96C1-562CE180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A82"/>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a5"/>
    <w:uiPriority w:val="10"/>
    <w:qFormat/>
    <w:rsid w:val="002C5A82"/>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2C5A8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boer</dc:creator>
  <cp:keywords/>
  <dc:description/>
  <cp:lastModifiedBy>陈 boer</cp:lastModifiedBy>
  <cp:revision>2</cp:revision>
  <dcterms:created xsi:type="dcterms:W3CDTF">2019-04-16T06:06:00Z</dcterms:created>
  <dcterms:modified xsi:type="dcterms:W3CDTF">2019-04-16T06:08:00Z</dcterms:modified>
</cp:coreProperties>
</file>